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340 AEUV — (ex-Artikel 288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vertragliche Haftung der Union bestimmt sich nach dem Recht, das auf den betreffenden Vertrag anzuwenden ist.</w:t>
      </w:r>
    </w:p>
    <w:p>
      <w:r>
        <w:t xml:space="preserve">Im Bereich der außervertraglichen Haftung ersetzt die Union den durch ihre Organe oder Bediensteten in Ausübung ihrer Amtstätigkeit verursachten Schaden nach den allgemeinen Rechtsgrundsätzen, die den Rechtsordnungen der Mitgliedstaaten gemeinsam sind.</w:t>
      </w:r>
    </w:p>
    <w:p>
      <w:r>
        <w:t xml:space="preserve">Abweichend von Absatz 2 ersetzt die Europäische Zentralbank den durch sie oder ihre Bediensteten in Ausübung ihrer Amtstätigkeit verursachten Schaden nach den allgemeinen Rechtsgrundsätzen, die den Rechtsordnungen der Mitgliedstaaten gemeinsam sind.</w:t>
      </w:r>
    </w:p>
    <w:p>
      <w:r>
        <w:t xml:space="preserve">Die persönliche Haftung der Bediensteten gegenüber der Union bestimmt sich nach den Vorschriften ihres Statuts oder der für sie geltenden Beschäftigungsbedingungen.</w:t>
      </w:r>
    </w:p>
    <w:p>
      <w:r>
        <w:rPr>
          <w:color w:val="555555"/>
          <w:sz w:val="17"/>
        </w:rPr>
        <w:t xml:space="preserve">Zitiervorschlag: Art 340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https://recht.nulegal.eu/gesetze/AEUV/340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