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339 AEUV — (ex-Artikel 287 EGV)</w:t>
      </w:r>
    </w:p>
    <w:p>
      <w:r>
        <w:rPr>
          <w:color w:val="555555"/>
          <w:sz w:val="18"/>
        </w:rPr>
        <w:t xml:space="preserve">AEUV</w:t>
      </w:r>
    </w:p>
    <w:p>
      <w:r>
        <w:rPr>
          <w:color w:val="555555"/>
          <w:sz w:val="18"/>
        </w:rPr>
        <w:t xml:space="preserve">Stand: 22.07.2026 (konsolidierte Textfassung, kein amtliches Inkrafttretensdatum)</w:t>
      </w:r>
    </w:p>
    <w:p>
      <w:r>
        <w:t xml:space="preserve">Die Mitglieder der Organe der Union, die Mitglieder der Ausschüsse sowie die Beamten und sonstigen Bediensteten der Union sind verpflichtet, auch nach Beendigung ihrer Amtstätigkeit Auskünfte, die ihrem Wesen nach unter das Berufsgeheimnis fallen, nicht preiszugeben; dies gilt insbesondere für Auskünfte über Unternehmen sowie deren Geschäftsbeziehungen oder Kostenelemente.</w:t>
      </w:r>
    </w:p>
    <w:p>
      <w:r>
        <w:rPr>
          <w:color w:val="555555"/>
          <w:sz w:val="17"/>
        </w:rPr>
        <w:t xml:space="preserve">Zitiervorschlag: Art 339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