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336 AEUV — (ex-Artikel 283 EGV)</w:t>
      </w:r>
    </w:p>
    <w:p>
      <w:r>
        <w:rPr>
          <w:color w:val="555555"/>
          <w:sz w:val="18"/>
        </w:rPr>
        <w:t xml:space="preserve">AEUV</w:t>
      </w:r>
    </w:p>
    <w:p>
      <w:r>
        <w:rPr>
          <w:color w:val="555555"/>
          <w:sz w:val="18"/>
        </w:rPr>
        <w:t xml:space="preserve">Stand: 22.07.2026 (konsolidierte Textfassung, kein amtliches Inkrafttretensdatum)</w:t>
      </w:r>
    </w:p>
    <w:p>
      <w:r>
        <w:t xml:space="preserve">Das Europäische Parlament und der Rat erlassen gemäß dem ordentlichen Gesetzgebungsverfahren durch Verordnungen nach Anhörung der anderen betroffenen Organe das Statut der Beamten der Europäischen Union und die Beschäftigungsbedingungen für die sonstigen Bediensteten der Union.</w:t>
      </w:r>
    </w:p>
    <w:p>
      <w:r>
        <w:rPr>
          <w:color w:val="555555"/>
          <w:sz w:val="17"/>
        </w:rPr>
        <w:t xml:space="preserve">Zitiervorschlag: Art 336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