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333 AEUV — (ex-Artikel 27a bis 27e, 40 bis 40b und 43 bis 45 EUV sowie ex-Artikel 11 und 11a EGV)</w:t>
      </w:r>
    </w:p>
    <w:p>
      <w:r>
        <w:rPr>
          <w:color w:val="555555"/>
          <w:sz w:val="18"/>
        </w:rPr>
        <w:t xml:space="preserve">AEUV</w:t>
      </w:r>
    </w:p>
    <w:p>
      <w:r>
        <w:rPr>
          <w:color w:val="555555"/>
          <w:sz w:val="18"/>
        </w:rPr>
        <w:t xml:space="preserve">Stand: 22.07.2026 (konsolidierte Textfassung, kein amtliches Inkrafttretensdatum)</w:t>
      </w:r>
    </w:p>
    <w:p>
      <w:r>
        <w:t xml:space="preserve">(1) Wenn nach einer Bestimmung der Verträge, die im Rahmen einer Verstärkten Zusammenarbeit angewendet werden könnte, der Rat einstimmig beschließen muss, kann der Rat nach Artikel 330 einstimmig einen Beschluss dahin gehend erlassen, dass er mit qualifizierter Mehrheit beschließt.</w:t>
      </w:r>
    </w:p>
    <w:p>
      <w:r>
        <w:t xml:space="preserve">(2) Wenn nach einer Bestimmung der Verträge, die im Rahmen einer Verstärkten Zusammenarbeit angewendet werden könnte, Rechtsakte vom Rat gemäß einem besonderen Gesetzgebungsverfahren erlassen werden müssen, kann der Rat nach Artikel 330 einstimmig einen Beschluss dahin gehend erlassen, dass er gemäß dem ordentlichen Gesetzgebungsverfahren beschließt. Der Rat beschließt nach Anhörung des Europäischen Parlaments.</w:t>
      </w:r>
    </w:p>
    <w:p>
      <w:r>
        <w:t xml:space="preserve">(3) Die Absätze 1 und 2 gelten nicht für Beschlüsse mit militärischen oder verteidigungspolitischen Bezügen.</w:t>
      </w:r>
    </w:p>
    <w:p>
      <w:r>
        <w:rPr>
          <w:color w:val="555555"/>
          <w:sz w:val="17"/>
        </w:rPr>
        <w:t xml:space="preserve">Zitiervorschlag: Art 333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https://recht.nulegal.eu/gesetze/AEUV/333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