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332 AEUV — (ex-Artikel 27a bis 27e, 40 bis 40b und 43 bis 45 EUV sowie ex-Artikel 11 und 11a EGV)</w:t>
      </w:r>
    </w:p>
    <w:p>
      <w:r>
        <w:rPr>
          <w:color w:val="555555"/>
          <w:sz w:val="18"/>
        </w:rPr>
        <w:t xml:space="preserve">AEUV</w:t>
      </w:r>
    </w:p>
    <w:p>
      <w:r>
        <w:rPr>
          <w:color w:val="555555"/>
          <w:sz w:val="18"/>
        </w:rPr>
        <w:t xml:space="preserve">Stand: 22.07.2026 (konsolidierte Textfassung, kein amtliches Inkrafttretensdatum)</w:t>
      </w:r>
    </w:p>
    <w:p>
      <w:r>
        <w:t xml:space="preserve">Die sich aus der Durchführung einer Verstärkten Zusammenarbeit ergebenden Ausgaben, mit Ausnahme der Verwaltungskosten der Organe, werden von den beteiligten Mitgliedstaaten getragen, sofern der Rat nicht nach Anhörung des Europäischen Parlaments durch einstimmigen Beschluss sämtlicher Mitglieder des Rates etwas anderes beschließt.</w:t>
      </w:r>
    </w:p>
    <w:p>
      <w:r>
        <w:rPr>
          <w:color w:val="555555"/>
          <w:sz w:val="17"/>
        </w:rPr>
        <w:t xml:space="preserve">Zitiervorschlag: Art 332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https://recht.nulegal.eu/gesetze/AEUV/332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