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330 AEUV — (ex-Artikel 27a bis 27e, 40 bis 40b und 43 bis 45 EUV sowie ex-Artikel 11 und 11a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Alle Mitglieder des Rates können an dessen Beratungen teilnehmen, aber nur die Mitglieder des Rates, die die an der Verstärkten Zusammenarbeit beteiligten Mitgliedstaaten vertreten, sind stimmberechtigt.</w:t>
      </w:r>
    </w:p>
    <w:p>
      <w:r>
        <w:t xml:space="preserve">Die Einstimmigkeit bezieht sich allein auf die Stimmen der Vertreter der an der Verstärkten Zusammenarbeit beteiligten Mitgliedstaaten.</w:t>
      </w:r>
    </w:p>
    <w:p>
      <w:r>
        <w:t xml:space="preserve">Die qualifizierte Mehrheit bestimmt sich nach Artikel 238 Absatz 3.</w:t>
      </w:r>
    </w:p>
    <w:p>
      <w:r>
        <w:rPr>
          <w:color w:val="555555"/>
          <w:sz w:val="17"/>
        </w:rPr>
        <w:t xml:space="preserve">Zitiervorschlag: Art 330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https://recht.nulegal.eu/gesetze/AEUV/330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