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33 AEUV — (ex-Artikel 135 EGV)</w:t>
      </w:r>
    </w:p>
    <w:p>
      <w:r>
        <w:rPr>
          <w:color w:val="555555"/>
          <w:sz w:val="18"/>
        </w:rPr>
        <w:t xml:space="preserve">AEUV</w:t>
      </w:r>
    </w:p>
    <w:p>
      <w:r>
        <w:rPr>
          <w:color w:val="555555"/>
          <w:sz w:val="18"/>
        </w:rPr>
        <w:t xml:space="preserve">Stand: 22.07.2026 (konsolidierte Textfassung, kein amtliches Inkrafttretensdatum)</w:t>
      </w:r>
    </w:p>
    <w:p>
      <w:r>
        <w:t xml:space="preserve">Das Europäische Parlament und der Rat treffen im Rahmen des Geltungsbereichs der Verträge gemäß dem ordentlichen Gesetzgebungsverfahren Maßnahmen zum Ausbau der Zusammenarbeit im Zollwesen zwischen den Mitgliedstaaten sowie zwischen den Mitgliedstaaten und der Kommission.</w:t>
      </w:r>
    </w:p>
    <w:p>
      <w:r>
        <w:rPr>
          <w:color w:val="555555"/>
          <w:sz w:val="17"/>
        </w:rPr>
        <w:t xml:space="preserve">Zitiervorschlag: Art 33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