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326 AEUV — (ex-Artikel 27a bis 27e, 40 bis 40b und 43 bis 45 EUV sowie ex-Artikel 11 und 11a EGV)</w:t>
      </w:r>
    </w:p>
    <w:p>
      <w:r>
        <w:rPr>
          <w:color w:val="555555"/>
          <w:sz w:val="18"/>
        </w:rPr>
        <w:t xml:space="preserve">AEUV</w:t>
      </w:r>
    </w:p>
    <w:p>
      <w:r>
        <w:rPr>
          <w:color w:val="555555"/>
          <w:sz w:val="18"/>
        </w:rPr>
        <w:t xml:space="preserve">Stand: 22.07.2026 (konsolidierte Textfassung, kein amtliches Inkrafttretensdatum)</w:t>
      </w:r>
    </w:p>
    <w:p>
      <w:r>
        <w:t xml:space="preserve">Eine Verstärkte Zusammenarbeit achtet die Verträge und das Recht der Union.</w:t>
      </w:r>
    </w:p>
    <w:p>
      <w:r>
        <w:t xml:space="preserve">Sie darf weder den Binnenmarkt noch den wirtschaftlichen, sozialen und territorialen Zusammenhalt beeinträchtigen. Sie darf für den Handel zwischen den Mitgliedstaaten weder ein Hindernis noch eine Diskriminierung darstellen noch darf sie zu Verzerrungen des Wettbewerbs zwischen den Mitgliedstaaten führen.</w:t>
      </w:r>
    </w:p>
    <w:p>
      <w:r>
        <w:rPr>
          <w:color w:val="555555"/>
          <w:sz w:val="17"/>
        </w:rPr>
        <w:t xml:space="preserve">Zitiervorschlag: Art 326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