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324 AEUV</w:t>
      </w:r>
    </w:p>
    <w:p>
      <w:r>
        <w:rPr>
          <w:color w:val="555555"/>
          <w:sz w:val="18"/>
        </w:rPr>
        <w:t xml:space="preserve">AEUV</w:t>
      </w:r>
    </w:p>
    <w:p>
      <w:r>
        <w:rPr>
          <w:color w:val="555555"/>
          <w:sz w:val="18"/>
        </w:rPr>
        <w:t xml:space="preserve">Stand: 22.07.2026 (konsolidierte Textfassung, kein amtliches Inkrafttretensdatum)</w:t>
      </w:r>
    </w:p>
    <w:p>
      <w:r>
        <w:t xml:space="preserve">Auf Initiative der Kommission werden im Rahmen der nach diesem Titel vorgesehenen Haushaltsverfahren regelmäßige Treffen der Präsidenten des Europäischen Parlaments, des Rates und der Kommission einberufen. Diese treffen alle erforderlichen Maßnahmen, um die Abstimmung und Annäherung der Standpunkte der Organe, denen sie vorstehen, zu fördern und so die Durchführung dieses Titels zu erleichtern.</w:t>
      </w:r>
    </w:p>
    <w:p>
      <w:r>
        <w:rPr>
          <w:color w:val="555555"/>
          <w:sz w:val="17"/>
        </w:rPr>
        <w:t xml:space="preserve">Zitiervorschlag: Art 324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