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322 AEUV — (ex-Artikel 279 EGV)</w:t>
      </w:r>
    </w:p>
    <w:p>
      <w:r>
        <w:rPr>
          <w:color w:val="555555"/>
          <w:sz w:val="18"/>
        </w:rPr>
        <w:t xml:space="preserve">AEUV</w:t>
      </w:r>
    </w:p>
    <w:p>
      <w:r>
        <w:rPr>
          <w:color w:val="555555"/>
          <w:sz w:val="18"/>
        </w:rPr>
        <w:t xml:space="preserve">Stand: 22.07.2026 (konsolidierte Textfassung, kein amtliches Inkrafttretensdatum)</w:t>
      </w:r>
    </w:p>
    <w:p>
      <w:r>
        <w:t xml:space="preserve">(1) Das Europäische Parlament und der Rat erlassen gemäß dem ordentlichen Gesetzgebungsverfahren durch Verordnungen nach Anhörung des Rechnungshofs</w:t>
      </w:r>
    </w:p>
    <w:p>
      <w:r>
        <w:t xml:space="preserve">a) die Haushaltsvorschriften, in denen insbesondere die Aufstellung und Ausführung des Haushaltsplans sowie die Rechnungslegung und Rechnungsprüfung im Einzelnen geregelt werden;</w:t>
      </w:r>
    </w:p>
    <w:p>
      <w:r>
        <w:t xml:space="preserve">b) die Vorschriften, die die Kontrolle der Verantwortung der Finanzakteure und insbesondere der Anweisungsbefugten und der Rechnungsführer regeln.</w:t>
      </w:r>
    </w:p>
    <w:p>
      <w:r>
        <w:t xml:space="preserve">(2) Der Rat legt auf Vorschlag der Kommission und nach Anhörung des Europäischen Parlaments und des Rechnungshofs die Einzelheiten und das Verfahren fest, nach denen die Haushaltseinnahmen, die in der Regelung über die Eigenmittel der Union vorgesehen sind, der Kommission zur Verfügung gestellt werden, sowie die Maßnahmen, die zu treffen sind, um gegebenenfalls die erforderlichen Kassenmittel bereitzustellen.</w:t>
      </w:r>
    </w:p>
    <w:p>
      <w:r>
        <w:rPr>
          <w:color w:val="555555"/>
          <w:sz w:val="17"/>
        </w:rPr>
        <w:t xml:space="preserve">Zitiervorschlag: Art 322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https://recht.nulegal.eu/gesetze/AEUV/322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