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32 AEUV — (ex-Artikel 27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Bei der Ausübung der ihr aufgrund dieses Kapitels übertragenen Aufgaben geht die Kommission von folgenden Gesichtspunkten aus:</w:t>
      </w:r>
    </w:p>
    <w:p>
      <w:r>
        <w:t xml:space="preserve">a) der Notwendigkeit, den Handelsverkehr zwischen den Mitgliedstaaten und dritten Ländern zu fördern;</w:t>
      </w:r>
    </w:p>
    <w:p>
      <w:r>
        <w:t xml:space="preserve">b) der Entwicklung der Wettbewerbsbedingungen innerhalb der Union, soweit diese Entwicklung zu einer Zunahme der Wettbewerbsfähigkeit der Unternehmen führt;</w:t>
      </w:r>
    </w:p>
    <w:p>
      <w:r>
        <w:t xml:space="preserve">c) dem Versorgungsbedarf der Union an Rohstoffen und Halbfertigwaren; hierbei achtet die Kommission darauf, zwischen den Mitgliedstaaten die Wettbewerbsbedingungen für Fertigwaren nicht zu verfälschen;</w:t>
      </w:r>
    </w:p>
    <w:p>
      <w:r>
        <w:t xml:space="preserve">d) der Notwendigkeit, ernsthafte Störungen im Wirtschaftsleben der Mitgliedstaaten zu vermeiden und eine rationelle Entwicklung der Erzeugung sowie eine Ausweitung des Verbrauchs innerhalb der Union zu gewährleisten.</w:t>
      </w:r>
    </w:p>
    <w:p>
      <w:r>
        <w:rPr>
          <w:color w:val="555555"/>
          <w:sz w:val="17"/>
        </w:rPr>
        <w:t xml:space="preserve">Zitiervorschlag: Art 32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