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316 AEUV — (ex-Artikel 271 EGV)</w:t>
      </w:r>
    </w:p>
    <w:p>
      <w:r>
        <w:rPr>
          <w:color w:val="555555"/>
          <w:sz w:val="18"/>
        </w:rPr>
        <w:t xml:space="preserve">AEUV</w:t>
      </w:r>
    </w:p>
    <w:p>
      <w:r>
        <w:rPr>
          <w:color w:val="555555"/>
          <w:sz w:val="18"/>
        </w:rPr>
        <w:t xml:space="preserve">Stand: 22.07.2026 (konsolidierte Textfassung, kein amtliches Inkrafttretensdatum)</w:t>
      </w:r>
    </w:p>
    <w:p>
      <w:r>
        <w:t xml:space="preserve">Nach Maßgabe der aufgrund des Artikels 322 erlassenen Vorschriften dürfen die nicht für Personalausgaben vorgesehenen Mittel, die bis zum Ende der Durchführungszeit eines Haushaltsplans nicht verbraucht worden sind, lediglich auf das nächste Haushaltsjahr übertragen werden.</w:t>
      </w:r>
    </w:p>
    <w:p>
      <w:r>
        <w:t xml:space="preserve">Die vorgesehenen Mittel werden nach Kapiteln gegliedert, in denen die Ausgaben nach Art oder Bestimmung zusammengefasst sind; die Kapitel werden nach der gemäß Artikel 322 festgelegten Haushaltsordnung unterteilt.</w:t>
      </w:r>
    </w:p>
    <w:p>
      <w:r>
        <w:t xml:space="preserve">Die Ausgaben des Europäischen Parlaments, des Europäischen Rates und des Rates, der Kommission sowie des Gerichtshofs der Europäischen Union werden unbeschadet einer besonderen Regelung für bestimmte gemeinsame Ausgaben in gesonderten Teilen des Haushaltsplans aufgeführt.</w:t>
      </w:r>
    </w:p>
    <w:p>
      <w:r>
        <w:rPr>
          <w:color w:val="555555"/>
          <w:sz w:val="17"/>
        </w:rPr>
        <w:t xml:space="preserve">Zitiervorschlag: Art 316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https://recht.nulegal.eu/gesetze/AEUV/316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