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315 AEUV — (ex-Artikel 273 EGV)</w:t>
      </w:r>
    </w:p>
    <w:p>
      <w:r>
        <w:rPr>
          <w:color w:val="555555"/>
          <w:sz w:val="18"/>
        </w:rPr>
        <w:t xml:space="preserve">AEUV</w:t>
      </w:r>
    </w:p>
    <w:p>
      <w:r>
        <w:rPr>
          <w:color w:val="555555"/>
          <w:sz w:val="18"/>
        </w:rPr>
        <w:t xml:space="preserve">Stand: 22.07.2026 (konsolidierte Textfassung, kein amtliches Inkrafttretensdatum)</w:t>
      </w:r>
    </w:p>
    <w:p>
      <w:r>
        <w:t xml:space="preserve">Ist zu Beginn eines Haushaltsjahres der Haushaltsplan noch nicht endgültig erlassen, so können nach der gemäß Artikel 322 festgelegten Haushaltsordnung für jedes Kapitel monatliche Ausgaben bis zur Höhe eines Zwölftels der im betreffenden Kapitel des Haushaltsplans des vorangegangenen Haushaltsjahres eingesetzten Mittel vorgenommen werden, die jedoch ein Zwölftel der Mittelansätze des gleichen Kapitels des Haushaltsplanentwurfs nicht überschreiten dürfen.</w:t>
      </w:r>
    </w:p>
    <w:p>
      <w:r>
        <w:t xml:space="preserve">Der Rat kann auf Vorschlag der Kommission unter Beachtung der sonstigen Bestimmungen des Absatzes 1 entsprechend der nach Artikel 322 erlassenen Verordnung Ausgaben genehmigen, die über dieses Zwölftel hinausgehen. Er leitet seinen Beschluss unverzüglich dem Europäischen Parlament zu.</w:t>
      </w:r>
    </w:p>
    <w:p>
      <w:r>
        <w:t xml:space="preserve">In dem Beschluss nach Absatz 2 werden unter Beachtung der in Artikel 311 genannten Rechtsakte die zur Durchführung dieses Artikels erforderlichen Maßnahmen betreffend die Mittel vorgesehen.</w:t>
      </w:r>
    </w:p>
    <w:p>
      <w:r>
        <w:t xml:space="preserve">Der Beschluss tritt 30 Tage nach seinem Erlass in Kraft, sofern das Europäische Parlament nicht innerhalb dieser Frist mit der Mehrheit seiner Mitglieder beschließt, diese Ausgaben zu kürzen.</w:t>
      </w:r>
    </w:p>
    <w:p>
      <w:r>
        <w:rPr>
          <w:color w:val="555555"/>
          <w:sz w:val="17"/>
        </w:rPr>
        <w:t xml:space="preserve">Zitiervorschlag: Art 315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