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311 AEUV — (ex-Artikel 269 EGV)</w:t>
      </w:r>
    </w:p>
    <w:p>
      <w:r>
        <w:rPr>
          <w:color w:val="555555"/>
          <w:sz w:val="18"/>
        </w:rPr>
        <w:t xml:space="preserve">AEUV</w:t>
      </w:r>
    </w:p>
    <w:p>
      <w:r>
        <w:rPr>
          <w:color w:val="555555"/>
          <w:sz w:val="18"/>
        </w:rPr>
        <w:t xml:space="preserve">Stand: 22.07.2026 (konsolidierte Textfassung, kein amtliches Inkrafttretensdatum)</w:t>
      </w:r>
    </w:p>
    <w:p>
      <w:r>
        <w:t xml:space="preserve">Die Union stattet sich mit den erforderlichen Mitteln aus, um ihre Ziele erreichen und ihre Politik durchführen zu können.</w:t>
      </w:r>
    </w:p>
    <w:p>
      <w:r>
        <w:t xml:space="preserve">Der Haushalt wird unbeschadet der sonstigen Einnahmen vollständig aus Eigenmitteln finanziert.</w:t>
      </w:r>
    </w:p>
    <w:p>
      <w:r>
        <w:t xml:space="preserve">Der Rat erlässt gemäß einem besonderen Gesetzgebungsverfahren einstimmig und nach Anhörung des Europäischen Parlaments einen Beschluss, mit dem die Bestimmungen über das System der Eigenmittel der Union festgelegt werden. Darin können neue Kategorien von Eigenmitteln eingeführt oder bestehende Kategorien abgeschafft werden. Dieser Beschluss tritt erst nach Zustimmung der Mitgliedstaaten im Einklang mit ihren jeweiligen verfassungsrechtlichen Vorschriften in Kraft.</w:t>
      </w:r>
    </w:p>
    <w:p>
      <w:r>
        <w:t xml:space="preserve">Der Rat legt gemäß einem besonderen Gesetzgebungsverfahren durch Verordnungen Durchführungsmaßnahmen zu dem System der Eigenmittel der Union fest, sofern dies in dem nach Absatz 3 erlassenen Beschluss vorgesehen ist. Der Rat beschließt nach Zustimmung des Europäischen Parlaments.</w:t>
      </w:r>
    </w:p>
    <w:p>
      <w:r>
        <w:rPr>
          <w:color w:val="555555"/>
          <w:sz w:val="17"/>
        </w:rPr>
        <w:t xml:space="preserve">Zitiervorschlag: Art 311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https://recht.nulegal.eu/gesetze/AEUV/311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