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310 AEUV — (ex-Artikel 268 EGV)</w:t>
      </w:r>
    </w:p>
    <w:p>
      <w:r>
        <w:rPr>
          <w:color w:val="555555"/>
          <w:sz w:val="18"/>
        </w:rPr>
        <w:t xml:space="preserve">AEUV</w:t>
      </w:r>
    </w:p>
    <w:p>
      <w:r>
        <w:rPr>
          <w:color w:val="555555"/>
          <w:sz w:val="18"/>
        </w:rPr>
        <w:t xml:space="preserve">Stand: 22.07.2026 (konsolidierte Textfassung, kein amtliches Inkrafttretensdatum)</w:t>
      </w:r>
    </w:p>
    <w:p>
      <w:r>
        <w:t xml:space="preserve">(1) Alle Einnahmen und Ausgaben der Union werden für jedes Haushaltsjahr veranschlagt und in den Haushaltsplan eingesetzt.</w:t>
      </w:r>
    </w:p>
    <w:p>
      <w:r>
        <w:t xml:space="preserve">Der jährliche Haushaltsplan der Union wird vom Europäischen Parlament und vom Rat nach Maßgabe des Artikels 314 aufgestellt.</w:t>
      </w:r>
    </w:p>
    <w:p>
      <w:r>
        <w:t xml:space="preserve">Der Haushaltsplan ist in Einnahmen und Ausgaben auszugleichen.</w:t>
      </w:r>
    </w:p>
    <w:p>
      <w:r>
        <w:t xml:space="preserve">(2) Die in den Haushaltsplan eingesetzten Ausgaben werden für ein Haushaltsjahr entsprechend der Verordnung nach Artikel 322 bewilligt.</w:t>
      </w:r>
    </w:p>
    <w:p>
      <w:r>
        <w:t xml:space="preserve">(3) Die Ausführung der in den Haushaltsplan eingesetzten Ausgaben setzt den Erlass eines verbindlichen Rechtsakts der Union voraus, mit dem die Maßnahme der Union und die Ausführung der entsprechenden Ausgabe entsprechend der Verordnung nach Artikel 322 eine Rechtsgrundlage erhalten, soweit nicht diese Verordnung Ausnahmen vorsieht.</w:t>
      </w:r>
    </w:p>
    <w:p>
      <w:r>
        <w:t xml:space="preserve">(4) Um die Haushaltsdisziplin sicherzustellen, erlässt die Union keine Rechtsakte, die erhebliche Auswirkungen auf den Haushaltsplan haben könnten, ohne die Gewähr zu bieten, dass die mit diesen Rechtsakten verbundenen Ausgaben im Rahmen der Eigenmittel der Union und unter Einhaltung des mehrjährigen Finanzrahmens nach Artikel 312 finanziert werden können.</w:t>
      </w:r>
    </w:p>
    <w:p>
      <w:r>
        <w:t xml:space="preserve">(5) Der Haushaltsplan wird entsprechend dem Grundsatz der Wirtschaftlichkeit der Haushaltsführung ausgeführt. Die Mitgliedstaaten arbeiten mit der Union zusammen, um sicherzustellen, dass die in den Haushaltsplan eingesetzten Mittel nach diesem Grundsatz verwendet werden.</w:t>
      </w:r>
    </w:p>
    <w:p>
      <w:r>
        <w:t xml:space="preserve">(6) Die Union und die Mitgliedstaaten bekämpfen nach Artikel 325 Betrügereien und sonstige gegen die finanziellen Interessen der Union gerichtete rechtswidrige Handlungen.</w:t>
      </w:r>
    </w:p>
    <w:p>
      <w:r>
        <w:rPr>
          <w:color w:val="555555"/>
          <w:sz w:val="17"/>
        </w:rPr>
        <w:t xml:space="preserve">Zitiervorschlag: Art 310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