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305 AEUV — (ex-Artikel 263 Absätze 2, 3 und 4 EGV)</w:t>
      </w:r>
    </w:p>
    <w:p>
      <w:r>
        <w:rPr>
          <w:color w:val="555555"/>
          <w:sz w:val="18"/>
        </w:rPr>
        <w:t xml:space="preserve">AEUV</w:t>
      </w:r>
    </w:p>
    <w:p>
      <w:r>
        <w:rPr>
          <w:color w:val="555555"/>
          <w:sz w:val="18"/>
        </w:rPr>
        <w:t xml:space="preserve">Stand: 22.07.2026 (konsolidierte Textfassung, kein amtliches Inkrafttretensdatum)</w:t>
      </w:r>
    </w:p>
    <w:p>
      <w:r>
        <w:t xml:space="preserve">Der Ausschuss der Regionen hat höchstens dreihundertfünfzig Mitglieder.</w:t>
      </w:r>
    </w:p>
    <w:p>
      <w:r>
        <w:t xml:space="preserve">Der Rat erlässt einstimmig auf Vorschlag der Kommission einen Beschluss über die Zusammensetzung des Ausschusses.</w:t>
      </w:r>
    </w:p>
    <w:p>
      <w:r>
        <w:t xml:space="preserve">Die Mitglieder des Ausschusses sowie eine gleiche Anzahl von Stellvertretern werden auf fünf Jahre ernannt. Wiederernennung ist zulässig. Der Rat nimmt die gemäß den Vorschlägen der einzelnen Mitgliedstaaten erstellte Liste der Mitglieder und Stellvertreter an. Die Amtszeit der Mitglieder des Ausschusses endet automatisch bei Ablauf des in Artikel 300 Absatz 3 genannten Mandats, aufgrund dessen sie vorgeschlagen wurden; für die verbleibende Amtszeit wird nach demselben Verfahren ein Nachfolger ernannt. Ein Mitglied des Ausschusses darf nicht gleichzeitig Mitglied des Europäischen Parlaments sein.</w:t>
      </w:r>
    </w:p>
    <w:p>
      <w:r>
        <w:rPr>
          <w:color w:val="555555"/>
          <w:sz w:val="17"/>
        </w:rPr>
        <w:t xml:space="preserve">Zitiervorschlag: Art 305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https://recht.nulegal.eu/gesetze/AEUV/305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