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304 AEUV — (ex-Artikel 262 EGV)</w:t>
      </w:r>
    </w:p>
    <w:p>
      <w:r>
        <w:rPr>
          <w:color w:val="555555"/>
          <w:sz w:val="18"/>
        </w:rPr>
        <w:t xml:space="preserve">AEUV</w:t>
      </w:r>
    </w:p>
    <w:p>
      <w:r>
        <w:rPr>
          <w:color w:val="555555"/>
          <w:sz w:val="18"/>
        </w:rPr>
        <w:t xml:space="preserve">Stand: 22.07.2026 (konsolidierte Textfassung, kein amtliches Inkrafttretensdatum)</w:t>
      </w:r>
    </w:p>
    <w:p>
      <w:r>
        <w:t xml:space="preserve">Der Ausschuss wird vom Europäischen Parlament, vom Rat oder der Kommission in den in den Verträgen vorgesehenen Fällen gehört. Er kann von diesen Organen in allen Fällen gehört werden, in denen diese es für zweckmäßig erachten. Er kann von sich aus eine Stellungnahme in den Fällen abgeben, in denen er dies für zweckmäßig erachtet.</w:t>
      </w:r>
    </w:p>
    <w:p>
      <w:r>
        <w:t xml:space="preserve">Wenn das Europäische Parlament, der Rat oder die Kommission es für notwendig erachten, setzen sie dem Ausschuss für die Vorlage seiner Stellungnahme eine Frist; diese beträgt mindestens einen Monat, vom Eingang der Mitteilung beim Präsidenten des Ausschusses an gerechnet. Nach Ablauf der Frist kann das Fehlen einer Stellungnahme unberücksichtigt bleiben.</w:t>
      </w:r>
    </w:p>
    <w:p>
      <w:r>
        <w:t xml:space="preserve">Die Stellungnahmen des Ausschusses sowie ein Bericht über die Beratungen werden dem Europäischen Parlament, dem Rat und der Kommission übermittelt.</w:t>
      </w:r>
    </w:p>
    <w:p>
      <w:r>
        <w:rPr>
          <w:color w:val="555555"/>
          <w:sz w:val="17"/>
        </w:rPr>
        <w:t xml:space="preserve">Zitiervorschlag: Art 304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