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303 AEUV — (ex-Artikel 260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Ausschuss wählt aus seiner Mitte seinen Präsidenten und sein Präsidium auf zweieinhalb Jahre.</w:t>
      </w:r>
    </w:p>
    <w:p>
      <w:r>
        <w:t xml:space="preserve">Er gibt sich eine Geschäftsordnung.</w:t>
      </w:r>
    </w:p>
    <w:p>
      <w:r>
        <w:t xml:space="preserve">Der Ausschuss wird von seinem Präsidenten auf Antrag des Europäischen Parlaments, des Rates oder der Kommission einberufen. Er kann auch von sich aus zusammentreten.</w:t>
      </w:r>
    </w:p>
    <w:p>
      <w:r>
        <w:rPr>
          <w:color w:val="555555"/>
          <w:sz w:val="17"/>
        </w:rPr>
        <w:t xml:space="preserve">Zitiervorschlag: Art 303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https://recht.nulegal.eu/gesetze/AEUV/303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