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302 AEUV — (ex-Artikel 259 EGV)</w:t>
      </w:r>
    </w:p>
    <w:p>
      <w:r>
        <w:rPr>
          <w:color w:val="555555"/>
          <w:sz w:val="18"/>
        </w:rPr>
        <w:t xml:space="preserve">AEUV</w:t>
      </w:r>
    </w:p>
    <w:p>
      <w:r>
        <w:rPr>
          <w:color w:val="555555"/>
          <w:sz w:val="18"/>
        </w:rPr>
        <w:t xml:space="preserve">Stand: 22.07.2026 (konsolidierte Textfassung, kein amtliches Inkrafttretensdatum)</w:t>
      </w:r>
    </w:p>
    <w:p>
      <w:r>
        <w:t xml:space="preserve">(1) Die Mitglieder des Ausschusses werden für fünf Jahre ernannt. Der Rat nimmt die gemäß den Vorschlägen der einzelnen Mitgliedstaaten erstellte Liste der Mitglieder an. Die Wiederernennung der Mitglieder des Ausschusses ist zulässig.</w:t>
      </w:r>
    </w:p>
    <w:p>
      <w:r>
        <w:t xml:space="preserve">(2) Der Rat beschließt nach Anhörung der Kommission. Er kann die Meinung der maßgeblichen europäischen Organisationen der verschiedenen Zweige des Wirtschafts- und Soziallebens und der Zivilgesellschaft einholen, die von der Tätigkeit der Union betroffen sind.</w:t>
      </w:r>
    </w:p>
    <w:p>
      <w:r>
        <w:rPr>
          <w:color w:val="555555"/>
          <w:sz w:val="17"/>
        </w:rPr>
        <w:t xml:space="preserve">Zitiervorschlag: Art 302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