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299 AEUV — (ex-Artikel 256 EGV)</w:t>
      </w:r>
    </w:p>
    <w:p>
      <w:r>
        <w:rPr>
          <w:color w:val="555555"/>
          <w:sz w:val="18"/>
        </w:rPr>
        <w:t xml:space="preserve">AEUV</w:t>
      </w:r>
    </w:p>
    <w:p>
      <w:r>
        <w:rPr>
          <w:color w:val="555555"/>
          <w:sz w:val="18"/>
        </w:rPr>
        <w:t xml:space="preserve">Stand: 22.07.2026 (konsolidierte Textfassung, kein amtliches Inkrafttretensdatum)</w:t>
      </w:r>
    </w:p>
    <w:p>
      <w:r>
        <w:t xml:space="preserve">Die Rechtsakte des Rates, der Kommission oder der Europäischen Zentralbank, die eine Zahlung auferlegen, sind vollstreckbare Titel; dies gilt nicht gegenüber Staaten.</w:t>
      </w:r>
    </w:p>
    <w:p>
      <w:r>
        <w:t xml:space="preserve">Die Zwangsvollstreckung erfolgt nach den Vorschriften des Zivilprozessrechts des Staates, in dessen Hoheitsgebiet sie stattfindet. Die Vollstreckungsklausel wird nach einer Prüfung, die sich lediglich auf die Echtheit des Titels erstrecken darf, von der staatlichen Behörde erteilt, welche die Regierung jedes Mitgliedstaats zu diesem Zweck bestimmt und der Kommission und dem Gerichtshof der Europäischen Union benennt.</w:t>
      </w:r>
    </w:p>
    <w:p>
      <w:r>
        <w:t xml:space="preserve">Sind diese Formvorschriften auf Antrag der die Vollstreckung betreibenden Partei erfüllt, so kann diese die Zwangsvollstreckung nach innerstaatlichem Recht betreiben, indem sie die zuständige Stelle unmittelbar anruft.</w:t>
      </w:r>
    </w:p>
    <w:p>
      <w:r>
        <w:t xml:space="preserve">Die Zwangsvollstreckung kann nur durch eine Entscheidung des Gerichtshofs der Europäischen Union ausgesetzt werden. Für die Prüfung der Ordnungsmäßigkeit der Vollstreckungsmaßnahmen sind jedoch die einzelstaatlichen Rechtsprechungsorgane zuständig.</w:t>
      </w:r>
    </w:p>
    <w:p>
      <w:r>
        <w:rPr>
          <w:color w:val="555555"/>
          <w:sz w:val="17"/>
        </w:rPr>
        <w:t xml:space="preserve">Zitiervorschlag: Art 299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https://recht.nulegal.eu/gesetze/AEUV/299</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