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298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Zur Ausübung ihrer Aufgaben stützen sich die Organe, Einrichtungen und sonstigen Stellen der Union auf eine offene, effiziente und unabhängige europäische Verwaltung.</w:t>
      </w:r>
    </w:p>
    <w:p>
      <w:r>
        <w:t xml:space="preserve">(2) Die Bestimmungen zu diesem Zweck werden unter Beachtung des Statuts und der Beschäftigungsbedingungen nach Artikel 336 vom Europäischen Parlament und vom Rat gemäß dem ordentlichen Gesetzgebungsverfahren durch Verordnungen erlassen.</w:t>
      </w:r>
    </w:p>
    <w:p>
      <w:r>
        <w:rPr>
          <w:color w:val="555555"/>
          <w:sz w:val="17"/>
        </w:rPr>
        <w:t xml:space="preserve">Zitiervorschlag: Art 298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https://recht.nulegal.eu/gesetze/AEUV/298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