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Art 297 AEUV — (ex-Artikel 254 EGV)</w:t>
      </w:r>
    </w:p>
    <w:p>
      <w:r>
        <w:rPr>
          <w:color w:val="555555"/>
          <w:sz w:val="18"/>
        </w:rPr>
        <w:t xml:space="preserve">AEUV</w:t>
      </w:r>
    </w:p>
    <w:p>
      <w:r>
        <w:rPr>
          <w:color w:val="555555"/>
          <w:sz w:val="18"/>
        </w:rPr>
        <w:t xml:space="preserve">Stand: 22.07.2026 (konsolidierte Textfassung, kein amtliches Inkrafttretensdatum)</w:t>
      </w:r>
    </w:p>
    <w:p>
      <w:r>
        <w:t xml:space="preserve">(1) Gesetzgebungsakte, die gemäß dem ordentlichen Gesetzgebungsverfahren erlassen wurden, werden vom Präsidenten des Europäischen Parlaments und vom Präsidenten des Rates unterzeichnet.</w:t>
      </w:r>
    </w:p>
    <w:p>
      <w:r>
        <w:t xml:space="preserve">Gesetzgebungsakte, die gemäß einem besonderen Gesetzgebungsverfahren erlassen wurden, werden vom Präsidenten des Organs unterzeichnet, das sie erlassen hat.</w:t>
      </w:r>
    </w:p>
    <w:p>
      <w:r>
        <w:t xml:space="preserve">Die Gesetzgebungsakte werden im Amtsblatt der Europäischen Union veröffentlicht. Sie treten zu dem durch sie festgelegten Zeitpunkt oder anderenfalls am zwanzigsten Tag nach ihrer Veröffentlichung in Kraft.</w:t>
      </w:r>
    </w:p>
    <w:p>
      <w:r>
        <w:t xml:space="preserve">(2) Rechtsakte ohne Gesetzescharakter, die als Verordnung, Richtlinie oder Beschluss, der an keinen bestimmten Adressaten gerichtet ist, erlassen wurden, werden vom Präsidenten des Organs unterzeichnet, das sie erlassen hat.</w:t>
      </w:r>
    </w:p>
    <w:p>
      <w:r>
        <w:t xml:space="preserve">Verordnungen, Richtlinien, die an alle Mitgliedstaaten gerichtet sind, sowie Beschlüsse, die an keinen bestimmten Adressaten gerichtet sind, werden im Amtsblatt der Europäischen Union veröffentlicht. Sie treten zu dem durch sie festgelegten Zeitpunkt oder anderenfalls am zwanzigsten Tag nach ihrer Veröffentlichung in Kraft.</w:t>
      </w:r>
    </w:p>
    <w:p>
      <w:r>
        <w:t xml:space="preserve">Die anderen Richtlinien sowie die Beschlüsse, die an einen bestimmten Adressaten gerichtet sind, werden denjenigen, für die sie bestimmt sind, bekannt gegeben und durch diese Bekanntgabe wirksam.</w:t>
      </w:r>
    </w:p>
    <w:p>
      <w:r>
        <w:rPr>
          <w:color w:val="555555"/>
          <w:sz w:val="17"/>
        </w:rPr>
        <w:t xml:space="preserve">Zitiervorschlag: Art 297 AEUV</w:t>
      </w:r>
    </w:p>
    <w:p>
      <w:r>
        <w:rPr>
          <w:color w:val="555555"/>
          <w:sz w:val="17"/>
        </w:rPr>
        <w:t xml:space="preserve">Quelle: EUR-Lex, abgerufen 22.07.2026</w:t>
      </w:r>
    </w:p>
    <w:p>
      <w:r>
        <w:rPr>
          <w:color w:val="555555"/>
          <w:sz w:val="17"/>
        </w:rPr>
        <w:t xml:space="preserve">Nicht-amtliche konsolidierte Fassung — verbindlich ist der im Amtsblatt der Europäischen Union veröffentlichte Wortlaut (eur-lex.europa.eu: https://eur-lex.europa.eu)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https://recht.nulegal.eu/gesetze/AEUV/297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