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296 AEUV — (ex-Artikel 253 EGV)</w:t>
      </w:r>
    </w:p>
    <w:p>
      <w:r>
        <w:rPr>
          <w:color w:val="555555"/>
          <w:sz w:val="18"/>
        </w:rPr>
        <w:t xml:space="preserve">AEUV</w:t>
      </w:r>
    </w:p>
    <w:p>
      <w:r>
        <w:rPr>
          <w:color w:val="555555"/>
          <w:sz w:val="18"/>
        </w:rPr>
        <w:t xml:space="preserve">Stand: 22.07.2026 (konsolidierte Textfassung, kein amtliches Inkrafttretensdatum)</w:t>
      </w:r>
    </w:p>
    <w:p>
      <w:r>
        <w:t xml:space="preserve">Wird die Art des zu erlassenden Rechtsakts von den Verträgen nicht vorgegeben, so entscheiden die Organe darüber von Fall zu Fall unter Einhaltung der geltenden Verfahren und des Grundsatzes der Verhältnismäßigkeit.</w:t>
      </w:r>
    </w:p>
    <w:p>
      <w:r>
        <w:t xml:space="preserve">Die Rechtsakte sind mit einer Begründung zu versehen und nehmen auf die in den Verträgen vorgesehenen Vorschläge, Initiativen, Empfehlungen, Anträge oder Stellungnahmen Bezug.</w:t>
      </w:r>
    </w:p>
    <w:p>
      <w:r>
        <w:t xml:space="preserve">Werden das Europäische Parlament und der Rat mit dem Entwurf eines Gesetzgebungsakts befasst, so nehmen sie keine Rechtsakte an, die gemäß dem für den betreffenden Bereich geltenden Gesetzgebungsverfahren nicht vorgesehen sind.</w:t>
      </w:r>
    </w:p>
    <w:p>
      <w:r>
        <w:rPr>
          <w:color w:val="555555"/>
          <w:sz w:val="17"/>
        </w:rPr>
        <w:t xml:space="preserve">Zitiervorschlag: Art 296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https://recht.nulegal.eu/gesetze/AEUV/296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