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293 AEUV — (ex-Artikel 250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Wird der Rat aufgrund der Verträge auf Vorschlag der Kommission tätig, so kann er diesen Vorschlag nur einstimmig abändern; dies gilt nicht in den Fällen nach Artikel 294 Absätze 10 und 13, nach Artikel 310, Artikel 312, Artikel 314 und nach Artikel 315 Absatz 2.</w:t>
      </w:r>
    </w:p>
    <w:p>
      <w:r>
        <w:t xml:space="preserve">(2) Solange ein Beschluss des Rates nicht ergangen ist, kann die Kommission ihren Vorschlag jederzeit im Verlauf der Verfahren zur Annahme eines Rechtsakts der Union ändern.</w:t>
      </w:r>
    </w:p>
    <w:p>
      <w:r>
        <w:rPr>
          <w:color w:val="555555"/>
          <w:sz w:val="17"/>
        </w:rPr>
        <w:t xml:space="preserve">Zitiervorschlag: Art 293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https://recht.nulegal.eu/gesetze/AEUV/293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