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291 AEUV</w:t>
      </w:r>
    </w:p>
    <w:p>
      <w:r>
        <w:rPr>
          <w:color w:val="555555"/>
          <w:sz w:val="18"/>
        </w:rPr>
        <w:t xml:space="preserve">AEUV</w:t>
      </w:r>
    </w:p>
    <w:p>
      <w:r>
        <w:rPr>
          <w:color w:val="555555"/>
          <w:sz w:val="18"/>
        </w:rPr>
        <w:t xml:space="preserve">Stand: 22.07.2026 (konsolidierte Textfassung, kein amtliches Inkrafttretensdatum)</w:t>
      </w:r>
    </w:p>
    <w:p>
      <w:r>
        <w:t xml:space="preserve">(1) Die Mitgliedstaaten ergreifen alle zur Durchführung der verbindlichen Rechtsakte der Union erforderlichen Maßnahmen nach innerstaatlichem Recht.</w:t>
      </w:r>
    </w:p>
    <w:p>
      <w:r>
        <w:t xml:space="preserve">(2) Bedarf es einheitlicher Bedingungen für die Durchführung der verbindlichen Rechtsakte der Union, so werden mit diesen Rechtsakten der Kommission oder, in entsprechend begründeten Sonderfällen und in den in den Artikeln 24 und 26 des Vertrags über die Europäische Union vorgesehenen Fällen, dem Rat Durchführungsbefugnisse übertragen.</w:t>
      </w:r>
    </w:p>
    <w:p>
      <w:r>
        <w:t xml:space="preserve">(3) Für die Zwecke des Absatzes 2 legen das Europäische Parlament und der Rat gemäß dem ordentlichen Gesetzgebungsverfahren durch Verordnungen im Voraus allgemeine Regeln und Grundsätze fest, nach denen die Mitgliedstaaten die Wahrnehmung der Durchführungsbefugnisse durch die Kommission kontrollieren.</w:t>
      </w:r>
    </w:p>
    <w:p>
      <w:r>
        <w:t xml:space="preserve">(4) In den Titel der Durchführungsrechtsakte wird der Wortteil "Durchführungs-" eingefügt.</w:t>
      </w:r>
    </w:p>
    <w:p>
      <w:r>
        <w:rPr>
          <w:color w:val="555555"/>
          <w:sz w:val="17"/>
        </w:rPr>
        <w:t xml:space="preserve">Zitiervorschlag: Art 291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https://recht.nulegal.eu/gesetze/AEUV/291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