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290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In Gesetzgebungsakten kann der Kommission die Befugnis übertragen werden, Rechtsakte ohne Gesetzescharakter mit allgemeiner Geltung zur Ergänzung oder Änderung bestimmter nicht wesentlicher Vorschriften des betreffenden Gesetzgebungsaktes zu erlassen.</w:t>
      </w:r>
    </w:p>
    <w:p>
      <w:r>
        <w:t xml:space="preserve">In den betreffenden Gesetzgebungsakten werden Ziele, Inhalt, Geltungsbereich und Dauer der Befugnisübertragung ausdrücklich festgelegt. Die wesentlichen Aspekte eines Bereichs sind dem Gesetzgebungsakt vorbehalten und eine Befugnisübertragung ist für sie deshalb ausgeschlossen.</w:t>
      </w:r>
    </w:p>
    <w:p>
      <w:r>
        <w:t xml:space="preserve">(2) Die Bedingungen, unter denen die Übertragung erfolgt, werden in Gesetzgebungsakten ausdrücklich festgelegt, wobei folgende Möglichkeiten bestehen:</w:t>
      </w:r>
    </w:p>
    <w:p>
      <w:r>
        <w:t xml:space="preserve">a) Das Europäische Parlament oder der Rat kann beschließen, die Übertragung zu widerrufen.</w:t>
      </w:r>
    </w:p>
    <w:p>
      <w:r>
        <w:t xml:space="preserve">b) Der delegierte Rechtsakt kann nur in Kraft treten, wenn das Europäische Parlament oder der Rat innerhalb der im Gesetzgebungsakt festgelegten Frist keine Einwände erhebt.</w:t>
      </w:r>
    </w:p>
    <w:p>
      <w:r>
        <w:t xml:space="preserve">Für die Zwecke der Buchstaben a und b beschließt das Europäische Parlament mit der Mehrheit seiner Mitglieder und der Rat mit qualifizierter Mehrheit.</w:t>
      </w:r>
    </w:p>
    <w:p>
      <w:r>
        <w:t xml:space="preserve">(3) In den Titel der delegierten Rechtsakte wird das Wort "delegiert" eingefügt.</w:t>
      </w:r>
    </w:p>
    <w:p>
      <w:r>
        <w:rPr>
          <w:color w:val="555555"/>
          <w:sz w:val="17"/>
        </w:rPr>
        <w:t xml:space="preserve">Zitiervorschlag: Art 290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https://recht.nulegal.eu/gesetze/AEUV/290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