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29 AEUV — (ex-Artikel 24 EGV)</w:t>
      </w:r>
    </w:p>
    <w:p>
      <w:r>
        <w:rPr>
          <w:color w:val="555555"/>
          <w:sz w:val="18"/>
        </w:rPr>
        <w:t xml:space="preserve">AEUV</w:t>
      </w:r>
    </w:p>
    <w:p>
      <w:r>
        <w:rPr>
          <w:color w:val="555555"/>
          <w:sz w:val="18"/>
        </w:rPr>
        <w:t xml:space="preserve">Stand: 22.07.2026 (konsolidierte Textfassung, kein amtliches Inkrafttretensdatum)</w:t>
      </w:r>
    </w:p>
    <w:p>
      <w:r>
        <w:t xml:space="preserve">Als im freien Verkehr eines Mitgliedstaats befindlich gelten diejenigen Waren aus dritten Ländern, für die in dem betreffenden Mitgliedstaat die Einfuhrförmlichkeiten erfüllt sowie die vorgeschriebenen Zölle und Abgaben gleicher Wirkung erhoben und nicht ganz oder teilweise rückvergütet worden sind.</w:t>
      </w:r>
    </w:p>
    <w:p>
      <w:r>
        <w:rPr>
          <w:color w:val="555555"/>
          <w:sz w:val="17"/>
        </w:rPr>
        <w:t xml:space="preserve">Zitiervorschlag: Art 29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https://recht.nulegal.eu/gesetze/AEUV/29</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