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281 AEUV — (ex-Artikel 245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Satzung des Gerichtshofs der Europäischen Union wird in einem besonderen Protokoll festgelegt.</w:t>
      </w:r>
    </w:p>
    <w:p>
      <w:r>
        <w:t xml:space="preserve">Das Europäische Parlament und der Rat können gemäß dem ordentlichen Gesetzgebungsverfahren die Satzung mit Ausnahme ihres Titels I und ihres Artikels 64 ändern. Das Europäische Parlament und der Rat beschließen entweder auf Antrag des Gerichtshofs nach Anhörung der Kommission oder auf Vorschlag der Kommission nach Anhörung des Gerichtshofs.</w:t>
      </w:r>
    </w:p>
    <w:p>
      <w:r>
        <w:rPr>
          <w:color w:val="555555"/>
          <w:sz w:val="17"/>
        </w:rPr>
        <w:t xml:space="preserve">Zitiervorschlag: Art 281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https://recht.nulegal.eu/gesetze/AEUV/281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