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28 AEUV — (ex-Artikel 23 EGV)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 Die Union umfasst eine Zollunion, die sich auf den gesamten Warenaustausch erstreckt; sie umfasst das Verbot, zwischen den Mitgliedstaaten Ein- und Ausfuhrzölle und Abgaben gleicher Wirkung zu erheben, sowie die Einführung eines Gemeinsamen Zolltarifs gegenüber dritten Ländern.</w:t>
      </w:r>
    </w:p>
    <w:p>
      <w:r>
        <w:t xml:space="preserve">(2) Artikel 30 und Kapitel 3 dieses Titels gelten für die aus den Mitgliedstaaten stammenden Waren sowie für diejenigen Waren aus dritten Ländern, die sich in den Mitgliedstaaten im freien Verkehr befinden.</w:t>
      </w:r>
    </w:p>
    <w:p>
      <w:r>
        <w:rPr>
          <w:color w:val="555555"/>
          <w:sz w:val="17"/>
        </w:rPr>
        <w:t xml:space="preserve">Zitiervorschlag: Art 28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https://recht.nulegal.eu/gesetze/AEUV/28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