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276 AEUV</w:t>
      </w:r>
    </w:p>
    <w:p>
      <w:r>
        <w:rPr>
          <w:color w:val="555555"/>
          <w:sz w:val="18"/>
        </w:rPr>
        <w:t xml:space="preserve">AEUV</w:t>
      </w:r>
    </w:p>
    <w:p>
      <w:r>
        <w:rPr>
          <w:color w:val="555555"/>
          <w:sz w:val="18"/>
        </w:rPr>
        <w:t xml:space="preserve">Stand: 22.07.2026 (konsolidierte Textfassung, kein amtliches Inkrafttretensdatum)</w:t>
      </w:r>
    </w:p>
    <w:p>
      <w:r>
        <w:t xml:space="preserve">Bei der Ausübung seiner Befugnisse im Rahmen der Bestimmungen des Dritten Teils Titel V Kapitel 4 und 5 über den Raum der Freiheit, der Sicherheit und des Rechts ist der Gerichtshof der Europäischen Union nicht zuständig für die Überprüfung der Gültigkeit oder Verhältnismäßigkeit von Maßnahmen der Polizei oder anderer Strafverfolgungsbehörden eines Mitgliedstaats oder der Wahrnehmung der Zuständigkeiten der Mitgliedstaaten für die Aufrechterhaltung der öffentlichen Ordnung und den Schutz der inneren Sicherheit.</w:t>
      </w:r>
    </w:p>
    <w:p>
      <w:r>
        <w:rPr>
          <w:color w:val="555555"/>
          <w:sz w:val="17"/>
        </w:rPr>
        <w:t xml:space="preserve">Zitiervorschlag: Art 276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