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271 AEUV — (ex-Artikel 237 EGV)</w:t>
      </w:r>
    </w:p>
    <w:p>
      <w:r>
        <w:rPr>
          <w:color w:val="555555"/>
          <w:sz w:val="18"/>
        </w:rPr>
        <w:t xml:space="preserve">AEUV</w:t>
      </w:r>
    </w:p>
    <w:p>
      <w:r>
        <w:rPr>
          <w:color w:val="555555"/>
          <w:sz w:val="18"/>
        </w:rPr>
        <w:t xml:space="preserve">Stand: 22.07.2026 (konsolidierte Textfassung, kein amtliches Inkrafttretensdatum)</w:t>
      </w:r>
    </w:p>
    <w:p>
      <w:r>
        <w:t xml:space="preserve">Der Gerichtshof der Europäischen Union ist nach Maßgabe der folgenden Bestimmungen zuständig in Streitsachen über</w:t>
      </w:r>
    </w:p>
    <w:p>
      <w:r>
        <w:t xml:space="preserve">a) die Erfüllung der Verpflichtungen der Mitgliedstaaten aus der Satzung der Europäischen Investitionsbank. Der Verwaltungsrat der Bank besitzt hierbei die der Kommission in Artikel 258 übertragenen Befugnisse;</w:t>
      </w:r>
    </w:p>
    <w:p>
      <w:r>
        <w:t xml:space="preserve">b) die Beschlüsse des Rates der Gouverneure der Europäischen Investitionsbank. Jeder Mitgliedstaat, die Kommission und der Verwaltungsrat der Bank können hierzu nach Maßgabe des Artikels 263 Klage erheben;</w:t>
      </w:r>
    </w:p>
    <w:p>
      <w:r>
        <w:t xml:space="preserve">c) die Beschlüsse des Verwaltungsrats der Europäischen Investitionsbank. Diese können nach Maßgabe des Artikels 263 nur von Mitgliedstaaten oder der Kommission und lediglich wegen Verletzung der Formvorschriften des Artikels 19 Absatz 2 und Absätze 5 bis 7 der Satzung der Investitionsbank angefochten werden;</w:t>
      </w:r>
    </w:p>
    <w:p>
      <w:r>
        <w:t xml:space="preserve">d) die Erfüllung der sich aus den Verträgen und der Satzung des ESZB und der EZB ergebenden Verpflichtungen durch die nationalen Zentralbanken. Der Rat der Gouverneure der Europäischen Zentralbank besitzt hierbei gegenüber den nationalen Zentralbanken die Befugnisse, die der Kommission in Artikel 258 gegenüber den Mitgliedstaaten eingeräumt werden. Stellt der Gerichtshof der Europäischen Union fest, dass eine nationale Zentralbank gegen eine Verpflichtung aus den Verträgen verstoßen hat, so hat diese Bank die Maßnahmen zu ergreifen, die sich aus dem Urteil des Gerichtshofs ergeben.</w:t>
      </w:r>
    </w:p>
    <w:p>
      <w:r>
        <w:rPr>
          <w:color w:val="555555"/>
          <w:sz w:val="17"/>
        </w:rPr>
        <w:t xml:space="preserve">Zitiervorschlag: Art 271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https://recht.nulegal.eu/gesetze/AEUV/271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