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AEUV — (ex-Artikel 15 EGV)</w:t>
      </w:r>
    </w:p>
    <w:p>
      <w:r>
        <w:rPr>
          <w:color w:val="555555"/>
          <w:sz w:val="18"/>
        </w:rPr>
        <w:t xml:space="preserve">AEUV</w:t>
      </w:r>
    </w:p>
    <w:p>
      <w:r>
        <w:rPr>
          <w:color w:val="555555"/>
          <w:sz w:val="18"/>
        </w:rPr>
        <w:t xml:space="preserve">Stand: 22.07.2026 (konsolidierte Textfassung, kein amtliches Inkrafttretensdatum)</w:t>
      </w:r>
    </w:p>
    <w:p>
      <w:r>
        <w:t xml:space="preserve">Bei der Formulierung ihrer Vorschläge zur Verwirklichung der Ziele des Artikels 26 berücksichtigt die Kommission den Umfang der Anstrengungen, die einigen Volkswirtschaften mit unterschiedlichem Entwicklungsstand für die Errichtung des Binnenmarkts abverlangt werden, und kann geeignete Bestimmungen vorschlagen.</w:t>
      </w:r>
    </w:p>
    <w:p>
      <w:r>
        <w:t xml:space="preserve">Erhalten diese Bestimmungen die Form von Ausnahmeregelungen, so müssen sie vorübergehender Art sein und dürfen das Funktionieren des Binnenmarkts so wenig wie möglich stören.</w:t>
      </w:r>
    </w:p>
    <w:p>
      <w:r>
        <w:rPr>
          <w:color w:val="555555"/>
          <w:sz w:val="17"/>
        </w:rPr>
        <w:t xml:space="preserve">Zitiervorschlag: Art 27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