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267 AEUV — (ex-Artikel 234 EGV)</w:t>
      </w:r>
    </w:p>
    <w:p>
      <w:r>
        <w:rPr>
          <w:color w:val="555555"/>
          <w:sz w:val="18"/>
        </w:rPr>
        <w:t xml:space="preserve">AEUV</w:t>
      </w:r>
    </w:p>
    <w:p>
      <w:r>
        <w:rPr>
          <w:color w:val="555555"/>
          <w:sz w:val="18"/>
        </w:rPr>
        <w:t xml:space="preserve">Stand: 22.07.2026 (konsolidierte Textfassung, kein amtliches Inkrafttretensdatum)</w:t>
      </w:r>
    </w:p>
    <w:p>
      <w:r>
        <w:t xml:space="preserve">Der Gerichtshof der Europäischen Union entscheidet im Wege der Vorabentscheidung</w:t>
      </w:r>
    </w:p>
    <w:p>
      <w:r>
        <w:t xml:space="preserve">a) über die Auslegung der Verträge,</w:t>
      </w:r>
    </w:p>
    <w:p>
      <w:r>
        <w:t xml:space="preserve">b) über die Gültigkeit und die Auslegung der Handlungen der Organe, Einrichtungen oder sonstigen Stellen der Union,</w:t>
      </w:r>
    </w:p>
    <w:p>
      <w:r>
        <w:t xml:space="preserve">Wird eine derartige Frage einem Gericht eines Mitgliedstaats gestellt und hält dieses Gericht eine Entscheidung darüber zum Erlass seines Urteils für erforderlich, so kann es diese Frage dem Gerichtshof zur Entscheidung vorlegen.</w:t>
      </w:r>
    </w:p>
    <w:p>
      <w:r>
        <w:t xml:space="preserve">Wird eine derartige Frage in einem schwebenden Verfahren bei einem einzelstaatlichen Gericht gestellt, dessen Entscheidungen selbst nicht mehr mit Rechtsmitteln des innerstaatlichen Rechts angefochten werden können, so ist dieses Gericht zur Anrufung des Gerichtshofs verpflichtet.</w:t>
      </w:r>
    </w:p>
    <w:p>
      <w:r>
        <w:t xml:space="preserve">Wird eine derartige Frage in einem schwebenden Verfahren, das eine inhaftierte Person betrifft, bei einem einzelstaatlichen Gericht gestellt, so entscheidet der Gerichtshof innerhalb kürzester Zeit.</w:t>
      </w:r>
    </w:p>
    <w:p>
      <w:r>
        <w:rPr>
          <w:color w:val="555555"/>
          <w:sz w:val="17"/>
        </w:rPr>
        <w:t xml:space="preserve">Zitiervorschlag: Art 267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