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266 AEUV — (ex-Artikel 233 EGV)</w:t>
      </w:r>
    </w:p>
    <w:p>
      <w:r>
        <w:rPr>
          <w:color w:val="555555"/>
          <w:sz w:val="18"/>
        </w:rPr>
        <w:t xml:space="preserve">AEUV</w:t>
      </w:r>
    </w:p>
    <w:p>
      <w:r>
        <w:rPr>
          <w:color w:val="555555"/>
          <w:sz w:val="18"/>
        </w:rPr>
        <w:t xml:space="preserve">Stand: 22.07.2026 (konsolidierte Textfassung, kein amtliches Inkrafttretensdatum)</w:t>
      </w:r>
    </w:p>
    <w:p>
      <w:r>
        <w:t xml:space="preserve">Die Organe, Einrichtungen oder sonstigen Stellen, denen das für nichtig erklärte Handeln zur Last fällt oder deren Untätigkeit als vertragswidrig erklärt worden ist, haben die sich aus dem Urteil des Gerichtshofs der Europäischen Union ergebenden Maßnahmen zu ergreifen.</w:t>
      </w:r>
    </w:p>
    <w:p>
      <w:r>
        <w:t xml:space="preserve">Diese Verpflichtung besteht unbeschadet der Verpflichtungen, die sich aus der Anwendung des Artikels 340 Absatz 2 ergeben.</w:t>
      </w:r>
    </w:p>
    <w:p>
      <w:r>
        <w:rPr>
          <w:color w:val="555555"/>
          <w:sz w:val="17"/>
        </w:rPr>
        <w:t xml:space="preserve">Zitiervorschlag: Art 266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