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264 AEUV — (ex-Artikel 231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Ist die Klage begründet, so erklärt der Gerichtshof der Europäischen Union die angefochtene Handlung für nichtig.</w:t>
      </w:r>
    </w:p>
    <w:p>
      <w:r>
        <w:t xml:space="preserve">Erklärt der Gerichtshof eine Handlung für nichtig, so bezeichnet er, falls er dies für notwendig hält, diejenigen ihrer Wirkungen, die als fortgeltend zu betrachten sind.</w:t>
      </w:r>
    </w:p>
    <w:p>
      <w:r>
        <w:rPr>
          <w:color w:val="555555"/>
          <w:sz w:val="17"/>
        </w:rPr>
        <w:t xml:space="preserve">Zitiervorschlag: Art 264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