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262 AEUV — (ex-Artikel 229a EGV)</w:t>
      </w:r>
    </w:p>
    <w:p>
      <w:r>
        <w:rPr>
          <w:color w:val="555555"/>
          <w:sz w:val="18"/>
        </w:rPr>
        <w:t xml:space="preserve">AEUV</w:t>
      </w:r>
    </w:p>
    <w:p>
      <w:r>
        <w:rPr>
          <w:color w:val="555555"/>
          <w:sz w:val="18"/>
        </w:rPr>
        <w:t xml:space="preserve">Stand: 22.07.2026 (konsolidierte Textfassung, kein amtliches Inkrafttretensdatum)</w:t>
      </w:r>
    </w:p>
    <w:p>
      <w:r>
        <w:t xml:space="preserve">Unbeschadet der sonstigen Bestimmungen der Verträge kann der Rat gemäß einem besonderen Gesetzgebungsverfahren nach Anhörung des Europäischen Parlaments einstimmig Bestimmungen erlassen, mit denen dem Gerichtshof der Europäischen Union in dem vom Rat festgelegten Umfang die Zuständigkeit übertragen wird, über Rechtsstreitigkeiten im Zusammenhang mit der Anwendung von aufgrund der Verträge erlassenen Rechtsakten, mit denen europäische Rechtstitel für das geistige Eigentum geschaffen werden, zu entscheiden. Diese Bestimmungen treten nach Zustimmung der Mitgliedstaaten im Einklang mit ihren jeweiligen verfassungsrechtlichen Vorschriften in Kraft.</w:t>
      </w:r>
    </w:p>
    <w:p>
      <w:r>
        <w:rPr>
          <w:color w:val="555555"/>
          <w:sz w:val="17"/>
        </w:rPr>
        <w:t xml:space="preserve">Zitiervorschlag: Art 262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https://recht.nulegal.eu/gesetze/AEUV/262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