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26 AEUV — (ex-Artikel 14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Union erlässt die erforderlichen Maßnahmen, um nach Maßgabe der einschlägigen Bestimmungen der Verträge den Binnenmarkt zu verwirklichen beziehungsweise dessen Funktionieren zu gewährleisten.</w:t>
      </w:r>
    </w:p>
    <w:p>
      <w:r>
        <w:t xml:space="preserve">(2) Der Binnenmarkt umfasst einen Raum ohne Binnengrenzen, in dem der freie Verkehr von Waren, Personen, Dienstleistungen und Kapital gemäß den Bestimmungen der Verträge gewährleistet ist.</w:t>
      </w:r>
    </w:p>
    <w:p>
      <w:r>
        <w:t xml:space="preserve">(3) Der Rat legt auf Vorschlag der Kommission die Leitlinien und Bedingungen fest, die erforderlich sind, um in allen betroffenen Sektoren einen ausgewogenen Fortschritt zu gewährleisten.</w:t>
      </w:r>
    </w:p>
    <w:p>
      <w:r>
        <w:rPr>
          <w:color w:val="555555"/>
          <w:sz w:val="17"/>
        </w:rPr>
        <w:t xml:space="preserve">Zitiervorschlag: Art 26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