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258 AEUV — (ex-Artikel 226 EGV)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Hat nach Auffassung der Kommission ein Mitgliedstaat gegen eine Verpflichtung aus den Verträgen verstoßen, so gibt sie eine mit Gründen versehene Stellungnahme hierzu ab; sie hat dem Staat zuvor Gelegenheit zur Äußerung zu geben.</w:t>
      </w:r>
    </w:p>
    <w:p>
      <w:r>
        <w:t xml:space="preserve">Kommt der Staat dieser Stellungnahme innerhalb der von der Kommission gesetzten Frist nicht nach, so kann die Kommission den Gerichtshof der Europäischen Union anrufen.</w:t>
      </w:r>
    </w:p>
    <w:p>
      <w:r>
        <w:rPr>
          <w:color w:val="555555"/>
          <w:sz w:val="17"/>
        </w:rPr>
        <w:t xml:space="preserve">Zitiervorschlag: Art 258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