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255 AEUV</w:t>
      </w:r>
    </w:p>
    <w:p>
      <w:r>
        <w:rPr>
          <w:color w:val="555555"/>
          <w:sz w:val="18"/>
        </w:rPr>
        <w:t xml:space="preserve">AEUV</w:t>
      </w:r>
    </w:p>
    <w:p>
      <w:r>
        <w:rPr>
          <w:color w:val="555555"/>
          <w:sz w:val="18"/>
        </w:rPr>
        <w:t xml:space="preserve">Stand: 22.07.2026 (konsolidierte Textfassung, kein amtliches Inkrafttretensdatum)</w:t>
      </w:r>
    </w:p>
    <w:p>
      <w:r>
        <w:t xml:space="preserve">Es wird ein Ausschuss eingerichtet, der die Aufgabe hat, vor einer Ernennung durch die Regierungen der Mitgliedstaaten nach den Artikeln 253 und 254 eine Stellungnahme zur Eignung der Bewerber für die Ausübung des Amts eines Richters oder Generalanwalts beim Gerichtshof oder beim Gericht abzugeben.</w:t>
      </w:r>
    </w:p>
    <w:p>
      <w:r>
        <w:t xml:space="preserve">Der Ausschuss setzt sich aus sieben Persönlichkeiten zusammen, die aus dem Kreis ehemaliger Mitglieder des Gerichtshofs und des Gerichts, der Mitglieder der höchsten einzelstaatlichen Gerichte und der Juristen von anerkannt hervorragender Befähigung ausgewählt werden, von denen einer vom Europäischen Parlament vorgeschlagen wird. Der Rat erlässt einen Beschluss zur Festlegung der Vorschriften für die Arbeitsweise und einen Beschluss zur Ernennung der Mitglieder dieses Ausschusses. Er beschließt auf Initiative des Präsidenten des Gerichtshofs.</w:t>
      </w:r>
    </w:p>
    <w:p>
      <w:r>
        <w:rPr>
          <w:color w:val="555555"/>
          <w:sz w:val="17"/>
        </w:rPr>
        <w:t xml:space="preserve">Zitiervorschlag: Art 255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https://recht.nulegal.eu/gesetze/AEUV/255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