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254 AEUV — (ex-Artikel 224 EGV)</w:t>
      </w:r>
    </w:p>
    <w:p>
      <w:r>
        <w:rPr>
          <w:color w:val="555555"/>
          <w:sz w:val="18"/>
        </w:rPr>
        <w:t xml:space="preserve">AEUV</w:t>
      </w:r>
    </w:p>
    <w:p>
      <w:r>
        <w:rPr>
          <w:color w:val="555555"/>
          <w:sz w:val="18"/>
        </w:rPr>
        <w:t xml:space="preserve">Stand: 22.07.2026 (konsolidierte Textfassung, kein amtliches Inkrafttretensdatum)</w:t>
      </w:r>
    </w:p>
    <w:p>
      <w:r>
        <w:t xml:space="preserve">Die Zahl der Richter des Gerichts wird in der Satzung des Gerichtshofs der Europäischen Union festgelegt. In der Satzung kann vorgesehen werden, dass das Gericht von Generalanwälten unterstützt wird.</w:t>
      </w:r>
    </w:p>
    <w:p>
      <w:r>
        <w:t xml:space="preserve">Zu Mitgliedern des Gerichts sind Personen auszuwählen, die jede Gewähr für Unabhängigkeit bieten und über die Befähigung zur Ausübung hoher richterlicher Tätigkeiten verfügen. Sie werden von den Regierungen der Mitgliedstaaten im gegenseitigen Einvernehmen nach Anhörung des in Artikel 255 vorgesehenen Ausschusses für sechs Jahre ernannt. Alle drei Jahre wird das Gericht teilweise neu besetzt. Die Wiederernennung ausscheidender Mitglieder ist zulässig.</w:t>
      </w:r>
    </w:p>
    <w:p>
      <w:r>
        <w:t xml:space="preserve">Die Richter wählen aus ihrer Mitte den Präsidenten des Gerichts für die Dauer von drei Jahren. Wiederwahl ist zulässig.</w:t>
      </w:r>
    </w:p>
    <w:p>
      <w:r>
        <w:t xml:space="preserve">Das Gericht ernennt seinen Kanzler und bestimmt dessen Stellung.</w:t>
      </w:r>
    </w:p>
    <w:p>
      <w:r>
        <w:t xml:space="preserve">Das Gericht erlässt seine Verfahrensordnung im Einvernehmen mit dem Gerichtshof. Sie bedarf der Genehmigung des Rates.</w:t>
      </w:r>
    </w:p>
    <w:p>
      <w:r>
        <w:t xml:space="preserve">Soweit die Satzung des Gerichtshofs der Europäischen Union nichts anderes vorsieht, finden die den Gerichtshof betreffenden Bestimmungen der Verträge auf das Gericht Anwendung.</w:t>
      </w:r>
    </w:p>
    <w:p>
      <w:r>
        <w:rPr>
          <w:color w:val="555555"/>
          <w:sz w:val="17"/>
        </w:rPr>
        <w:t xml:space="preserve">Zitiervorschlag: Art 254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https://recht.nulegal.eu/gesetze/AEUV/254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