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252 AEUV — (ex-Artikel 222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Gerichtshof wird von acht Generalanwälten unterstützt. Auf Antrag des Gerichtshofs kann der Rat einstimmig die Zahl der Generalanwälte erhöhen.</w:t>
      </w:r>
    </w:p>
    <w:p>
      <w:r>
        <w:t xml:space="preserve">Der Generalanwalt hat öffentlich in völliger Unparteilichkeit und Unabhängigkeit begründete Schlussanträge zu den Rechtssachen zu stellen, in denen nach der Satzung des Gerichtshofs der Europäischen Union seine Mitwirkung erforderlich ist.</w:t>
      </w:r>
    </w:p>
    <w:p>
      <w:r>
        <w:rPr>
          <w:color w:val="555555"/>
          <w:sz w:val="17"/>
        </w:rPr>
        <w:t xml:space="preserve">Zitiervorschlag: Art 252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https://recht.nulegal.eu/gesetze/AEUV/252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