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251 AEUV — (ex-Artikel 221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Gerichtshof tagt in Kammern oder als Große Kammer entsprechend den hierfür in der Satzung des Gerichtshofs der Europäischen Union vorgesehenen Regeln.</w:t>
      </w:r>
    </w:p>
    <w:p>
      <w:r>
        <w:t xml:space="preserve">Wenn die Satzung es vorsieht, kann der Gerichtshof auch als Plenum tagen.</w:t>
      </w:r>
    </w:p>
    <w:p>
      <w:r>
        <w:rPr>
          <w:color w:val="555555"/>
          <w:sz w:val="17"/>
        </w:rPr>
        <w:t xml:space="preserve">Zitiervorschlag: Art 251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