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250 AEUV — (ex-Artikel 219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Beschlüsse der Kommission werden mit der Mehrheit ihrer Mitglieder gefasst.</w:t>
      </w:r>
    </w:p>
    <w:p>
      <w:r>
        <w:t xml:space="preserve">Die Beschlussfähigkeit wird in ihrer Geschäftsordnung festgelegt.</w:t>
      </w:r>
    </w:p>
    <w:p>
      <w:r>
        <w:rPr>
          <w:color w:val="555555"/>
          <w:sz w:val="17"/>
        </w:rPr>
        <w:t xml:space="preserve">Zitiervorschlag: Art 250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https://recht.nulegal.eu/gesetze/AEUV/250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