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AEUV — (ex-Artikel 22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Kommission erstattet dem Europäischen Parlament, dem Rat und dem Wirtschafts- und Sozialausschuss alle drei Jahre über die Anwendung dieses Teils Bericht. In dem Bericht wird der Fortentwicklung der Union Rechnung getragen.</w:t>
      </w:r>
    </w:p>
    <w:p>
      <w:r>
        <w:t xml:space="preserve">Auf dieser Grundlage kann der Rat unbeschadet der anderen Bestimmungen der Verträge zur Ergänzung der in Artikel 20 Absatz 2 aufgeführten Rechte einstimmig gemäß einem besonderen Gesetzgebungsverfahren nach Zustimmung des Europäischen Parlaments Bestimmungen erlassen. Diese Bestimmungen treten nach Zustimmung der Mitgliedstaaten im Einklang mit ihren jeweiligen verfassungsrechtlichen Vorschriften in Kraft.</w:t>
      </w:r>
    </w:p>
    <w:p>
      <w:r>
        <w:rPr>
          <w:color w:val="555555"/>
          <w:sz w:val="17"/>
        </w:rPr>
        <w:t xml:space="preserve">Zitiervorschlag: Art 25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