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249 AEUV — (ex-Artikel 218 Absatz 2 und ex-Artikel 212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Kommission gibt sich eine Geschäftsordnung, um ihr ordnungsgemäßes Arbeiten und das ihrer Dienststellen zu gewährleisten. Sie sorgt für die Veröffentlichung dieser Geschäftsordnung.</w:t>
      </w:r>
    </w:p>
    <w:p>
      <w:r>
        <w:t xml:space="preserve">(2) Die Kommission veröffentlicht jährlich, und zwar spätestens einen Monat vor Beginn der Sitzungsperiode des Europäischen Parlaments, einen Gesamtbericht über die Tätigkeit der Union.</w:t>
      </w:r>
    </w:p>
    <w:p>
      <w:r>
        <w:rPr>
          <w:color w:val="555555"/>
          <w:sz w:val="17"/>
        </w:rPr>
        <w:t xml:space="preserve">Zitiervorschlag: Art 249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https://recht.nulegal.eu/gesetze/AEUV/249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