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247 AEUV — (ex-Artikel 216 EGV)</w:t>
      </w:r>
    </w:p>
    <w:p>
      <w:r>
        <w:rPr>
          <w:color w:val="555555"/>
          <w:sz w:val="18"/>
        </w:rPr>
        <w:t xml:space="preserve">AEUV</w:t>
      </w:r>
    </w:p>
    <w:p>
      <w:r>
        <w:rPr>
          <w:color w:val="555555"/>
          <w:sz w:val="18"/>
        </w:rPr>
        <w:t xml:space="preserve">Stand: 22.07.2026 (konsolidierte Textfassung, kein amtliches Inkrafttretensdatum)</w:t>
      </w:r>
    </w:p>
    <w:p>
      <w:r>
        <w:t xml:space="preserve">Jedes Mitglied der Kommission, das die Voraussetzungen für die Ausübung seines Amtes nicht mehr erfüllt oder eine schwere Verfehlung begangen hat, kann auf Antrag des Rates, der mit einfacher Mehrheit beschließt, oder der Kommission durch den Gerichtshof seines Amtes enthoben werden.</w:t>
      </w:r>
    </w:p>
    <w:p>
      <w:r>
        <w:rPr>
          <w:color w:val="555555"/>
          <w:sz w:val="17"/>
        </w:rPr>
        <w:t xml:space="preserve">Zitiervorschlag: Art 247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https://recht.nulegal.eu/gesetze/AEUV/247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