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246 AEUV — (ex-Artikel 215 EGV)</w:t>
      </w:r>
    </w:p>
    <w:p>
      <w:r>
        <w:rPr>
          <w:color w:val="555555"/>
          <w:sz w:val="18"/>
        </w:rPr>
        <w:t xml:space="preserve">AEUV</w:t>
      </w:r>
    </w:p>
    <w:p>
      <w:r>
        <w:rPr>
          <w:color w:val="555555"/>
          <w:sz w:val="18"/>
        </w:rPr>
        <w:t xml:space="preserve">Stand: 22.07.2026 (konsolidierte Textfassung, kein amtliches Inkrafttretensdatum)</w:t>
      </w:r>
    </w:p>
    <w:p>
      <w:r>
        <w:t xml:space="preserve">Abgesehen von den regelmäßigen Neubesetzungen und von Todesfällen endet das Amt eines Mitglieds der Kommission durch Rücktritt oder Amtsenthebung.</w:t>
      </w:r>
    </w:p>
    <w:p>
      <w:r>
        <w:t xml:space="preserve">Für ein zurückgetretenes, seines Amtes enthobenes oder verstorbenes Mitglied wird für die verbleibende Amtszeit vom Rat mit Zustimmung des Präsidenten der Kommission nach Anhörung des Europäischen Parlaments und nach den Anforderungen des Artikels 17 Absatz 3 Unterabsatz 2 des Vertrags über die Europäische Union ein neues Mitglied derselben Staatsangehörigkeit ernannt.</w:t>
      </w:r>
    </w:p>
    <w:p>
      <w:r>
        <w:t xml:space="preserve">Der Rat kann auf Vorschlag des Präsidenten der Kommission einstimmig beschließen, dass ein ausscheidendes Mitglied der Kommission für die verbleibende Amtszeit nicht ersetzt werden muss, insbesondere wenn es sich um eine kurze Zeitspanne handelt.</w:t>
      </w:r>
    </w:p>
    <w:p>
      <w:r>
        <w:t xml:space="preserve">Bei Rücktritt, Amtsenthebung oder Tod des Präsidenten wird für die verbleibende Amtszeit ein Nachfolger ernannt. Für die Ersetzung findet das Verfahren des Artikels 17 Absatz 7 Unterabsatz 1 des Vertrags über die Europäische Union Anwendung.</w:t>
      </w:r>
    </w:p>
    <w:p>
      <w:r>
        <w:t xml:space="preserve">Bei Rücktritt, Amtsenthebung oder Tod des Hohen Vertreters der Union für die Außen- und Sicherheitspolitik wird für die verbleibende Amtszeit nach Artikel 18 Absatz 1 des Vertrags über die Europäische Union ein Nachfolger ernannt.</w:t>
      </w:r>
    </w:p>
    <w:p>
      <w:r>
        <w:t xml:space="preserve">Bei Rücktritt aller Mitglieder der Kommission bleiben diese bis zur Neubesetzung ihres Sitzes nach Artikel 17 des Vertrags über die Europäische Union für die verbleibende Amtszeit im Amt und führen die laufenden Geschäfte weiter.</w:t>
      </w:r>
    </w:p>
    <w:p>
      <w:r>
        <w:rPr>
          <w:color w:val="555555"/>
          <w:sz w:val="17"/>
        </w:rPr>
        <w:t xml:space="preserve">Zitiervorschlag: Art 246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