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245 AEUV — (ex-Artikel 213 EGV)</w:t>
      </w:r>
    </w:p>
    <w:p>
      <w:r>
        <w:rPr>
          <w:color w:val="555555"/>
          <w:sz w:val="18"/>
        </w:rPr>
        <w:t xml:space="preserve">AEUV</w:t>
      </w:r>
    </w:p>
    <w:p>
      <w:r>
        <w:rPr>
          <w:color w:val="555555"/>
          <w:sz w:val="18"/>
        </w:rPr>
        <w:t xml:space="preserve">Stand: 22.07.2026 (konsolidierte Textfassung, kein amtliches Inkrafttretensdatum)</w:t>
      </w:r>
    </w:p>
    <w:p>
      <w:r>
        <w:t xml:space="preserve">Die Mitglieder der Kommission haben jede Handlung zu unterlassen, die mit ihren Aufgaben unvereinbar ist. Die Mitgliedstaaten achten ihre Unabhängigkeit und versuchen nicht, sie bei der Erfüllung ihrer Aufgaben zu beeinflussen.</w:t>
      </w:r>
    </w:p>
    <w:p>
      <w:r>
        <w:t xml:space="preserve">Die Mitglieder der Kommission dürfen während ihrer Amtszeit keine andere entgeltliche oder unentgeltliche Berufstätigkeit ausüben. Bei der Aufnahme ihrer Tätigkeit übernehmen sie die feierliche Verpflichtung, während der Ausübung und nach Ablauf ihrer Amtstätigkeit die sich aus ihrem Amt ergebenden Pflichten zu erfüllen, insbesondere die Pflicht, bei der Annahme gewisser Tätigkeiten oder Vorteile nach Ablauf dieser Tätigkeit ehrenhaft und zurückhaltend zu sein. Werden diese Pflichten verletzt, so kann der Gerichtshof auf Antrag des Rates, der mit einfacher Mehrheit beschließt, oder der Kommission das Mitglied je nach Lage des Falles gemäß Artikel 247 seines Amtes entheben oder ihm seine Ruhegehaltsansprüche oder andere an ihrer Stelle gewährte Vergünstigungen aberkennen.</w:t>
      </w:r>
    </w:p>
    <w:p>
      <w:r>
        <w:rPr>
          <w:color w:val="555555"/>
          <w:sz w:val="17"/>
        </w:rPr>
        <w:t xml:space="preserve">Zitiervorschlag: Art 245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https://recht.nulegal.eu/gesetze/AEUV/245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