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244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Gemäß Artikel 17 Absatz 5 des Vertrags über die Europäische Union werden die Kommissionsmitglieder in einem vom Europäischen Rat einstimmig festgelegten System der Rotation ausgewählt, das auf folgenden Grundsätzen beruht:</w:t>
      </w:r>
    </w:p>
    <w:p>
      <w:r>
        <w:t xml:space="preserve">a) Die Mitgliedstaaten werden bei der Festlegung der Reihenfolge und der Dauer der Amtszeiten ihrer Staatsangehörigen in der Kommission vollkommen gleich behandelt; demzufolge kann die Gesamtzahl der Mandate, welche Staatsangehörige zweier beliebiger Mitgliedstaaten innehaben, niemals um mehr als eines voneinander abweichen.</w:t>
      </w:r>
    </w:p>
    <w:p>
      <w:r>
        <w:t xml:space="preserve">b) Vorbehaltlich des Buchstabens a ist jede der aufeinander folgenden Kommissionen so zusammengesetzt, dass das demografische und geografische Spektrum der Gesamtheit der Mitgliedstaaten auf zufrieden stellende Weise zum Ausdruck kommt.</w:t>
      </w:r>
    </w:p>
    <w:p>
      <w:r>
        <w:rPr>
          <w:color w:val="555555"/>
          <w:sz w:val="17"/>
        </w:rPr>
        <w:t xml:space="preserve">Zitiervorschlag: Art 244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https://recht.nulegal.eu/gesetze/AEUV/244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