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241 AEUV — (ex-Artikel 208 EGV)</w:t>
      </w:r>
    </w:p>
    <w:p>
      <w:r>
        <w:rPr>
          <w:color w:val="555555"/>
          <w:sz w:val="18"/>
        </w:rPr>
        <w:t xml:space="preserve">AEUV</w:t>
      </w:r>
    </w:p>
    <w:p>
      <w:r>
        <w:rPr>
          <w:color w:val="555555"/>
          <w:sz w:val="18"/>
        </w:rPr>
        <w:t xml:space="preserve">Stand: 22.07.2026 (konsolidierte Textfassung, kein amtliches Inkrafttretensdatum)</w:t>
      </w:r>
    </w:p>
    <w:p>
      <w:r>
        <w:t xml:space="preserve">Der Rat, der mit einfacher Mehrheit beschließt, kann die Kommission auffordern, die nach seiner Ansicht zur Verwirklichung der gemeinsamen Ziele geeigneten Untersuchungen vorzunehmen und ihm entsprechende Vorschläge zu unterbreiten. Legt die Kommission keinen Vorschlag vor, so teilt sie dem Rat die Gründe dafür mit.</w:t>
      </w:r>
    </w:p>
    <w:p>
      <w:r>
        <w:rPr>
          <w:color w:val="555555"/>
          <w:sz w:val="17"/>
        </w:rPr>
        <w:t xml:space="preserve">Zitiervorschlag: Art 241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https://recht.nulegal.eu/gesetze/AEUV/241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